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130</w:t>
      </w:r>
    </w:p>
    <w:p>
      <w:r>
        <w:t>Bundesgericht (BGE), 2010-12-23, FR</w:t>
      </w:r>
    </w:p>
    <w:p>
      <w:r>
        <w:rPr>
          <w:b/>
        </w:rPr>
        <w:t xml:space="preserve">Quelle: </w:t>
      </w:r>
      <w:r>
        <w:t>https://mcp.opencaselaw.ch/entscheid/bge_137 III 130</w:t>
      </w:r>
    </w:p>
    <w:p>
      <w:r>
        <w:t>FR: ATF 137 III 130</w:t>
      </w:r>
    </w:p>
    <w:p>
      <w:r>
        <w:t>IT: DTF 137 III 130</w:t>
      </w:r>
    </w:p>
    <w:p>
      <w:pPr>
        <w:pStyle w:val="Heading2"/>
      </w:pPr>
      <w:r>
        <w:t>Regeste</w:t>
      </w:r>
    </w:p>
    <w:p>
      <w:r>
        <w:t>Regeste Art. 405 Abs. 1 ZPO; Eröffnung des Entscheids. Massgebend ist das Datum des Versands durch das Gericht und nicht dasjenige des Empfangs durch eine der Parteien (E. 2).</w:t>
      </w:r>
    </w:p>
    <w:p>
      <w:pPr>
        <w:pStyle w:val="Heading2"/>
      </w:pPr>
      <w:r>
        <w:t>Erwägungen</w:t>
      </w:r>
    </w:p>
    <w:p>
      <w:r>
        <w:rPr>
          <w:b/>
        </w:rPr>
        <w:t>E. 2</w:t>
      </w:r>
    </w:p>
    <w:p>
      <w:r>
        <w:t>La communication visée par l' art. 405 al. 1 CPC (RS 272) est une notion autonome de droit fédéral; il n'y a pas de renvoi ni de référence au droit cantonal. Pour appréhender cette notion dans le système du code de procédure unifié, il faut se référer d'abord à l' art. 239 CPC (MARC PASCAL FISCHER, in Schweizerische Zivilprozessordnung, Baker &amp; McKenzie [éd.], 2010, n° 2 ad art. 405 CPC ; opinion contraire: DENIS TAPPY, Le droit transitoire applicable lors de l'introduction de la nouvelle procédure civile unifiée, JdT 2010 III 11 p. 31/32, auteur pour qui le droit cantonal est déterminant). La communication peut donc intervenir par remise d'un dispositif à l'audience ( art. 239 al. 1 let. a CPC ), par notification d'un dispositif écrit ( art. 239 al. 1 let. b CPC ) ou par notification d'une expédition motivée, incluant le dispositif. En cas de notification, il faut, à première vue, se référer aussi à l' art. 138 CPC ; selon cette disposition, la notification est accomplie lorsque l'acte est remis à son destinataire, à l'un de ses employés ou à une personne de son ménage âgée de seize ans au moins ( art. 138 al. 2 CPC ). Toutefois, le critère adopté par le législateur fédéral pose un problème bien prévu par les commentateurs de l' art. 405 CPC : il est possible que l'une des parties à l'instance reçoive le jugement en 2010 et que l'autre le reçoive en 2011 (FISCHER, loc. cit.; FREI/WILLISEGGER, in Commentaire bâlois, CPC, 2010, n° 4 ad art. 405 CPC ; TAPPY, op. cit., p. 32; TANJA DEMEJ, in Schweizerische Zivilprozessordnung, Paul Oberhammer [éd.], 2010, n° 2 ad art. 405 CPC ); c'est BGE 137 III 130 S. 132 précisément la situation de la présente affaire. La notification aux défendeurs est intervenue le 28 décembre 2010; celle à la demanderesse s'est accomplie le 4 janvier 2011. Les commentateurs proposent de prendre pour référence la date d'envoi du jugement par le tribunal (TAPPY et DEMEJ, loc. cit.). En pratique, le plus souvent, les tribunaux envoient toutes les copies d'un jugement le même jour et cette date est donc, en principe, commune à toutes les parties. Il est surtout indiscutable que les voies de recours doivent être les mêmes pour toutes les parties, et que seule une date, soit en 2010, soit en 2011, est donc décisive. Il faut aussi que le tribunal puisse indiquer avec sûreté, dans le jugement, la voie de recours disponible. La solution ainsi proposée par la doctrine est donc pertinente, alors même qu'elle ne s'accorde pas entièrement avec le système du code unifié et qu'elle diverge, en particulier, de la théorie de la réception consacrée par l' art. 138 CPC . En conséquence, les deux cours de droit civil du Tribunal fédéral ont décidé en commun, le 31 mars 2011 et en application de l' art. 23 al. 2 LTF , que la date de la "communication de la décision aux parties", aux termes de l' art. 405 al. 1 CPC , est celle de l'envoi de l'acte par le tribunal. Elles ont par ailleurs décidé, également, que la remise aux parties d'un dispositif écrit, le cas échéant, est suffisante, et que la communication n'est pas reportée à la remise d'une expédition motivée.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